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177</w:t>
      </w:r>
    </w:p>
    <w:p>
      <w:r>
        <w:t>Bundesgericht (BGE), 1980-06-18, DE</w:t>
      </w:r>
    </w:p>
    <w:p>
      <w:r>
        <w:rPr>
          <w:b/>
        </w:rPr>
        <w:t xml:space="preserve">Quelle: </w:t>
      </w:r>
      <w:r>
        <w:t>https://mcp.opencaselaw.ch/entscheid/bge_106 II 177</w:t>
      </w:r>
    </w:p>
    <w:p>
      <w:r>
        <w:t>FR: ATF 106 II 177</w:t>
      </w:r>
    </w:p>
    <w:p>
      <w:r>
        <w:t>IT: DTF 106 II 177</w:t>
      </w:r>
    </w:p>
    <w:p>
      <w:pPr>
        <w:pStyle w:val="Heading2"/>
      </w:pPr>
      <w:r>
        <w:t>Regeste</w:t>
      </w:r>
    </w:p>
    <w:p>
      <w:r>
        <w:t>Regeste Einwilligung des Vormundes zur Eheschliessung (Art. 99 ZGB). Die Einwilligung zur Eheschliessung darf nur aus Gründen der vormundschaftlichen Fürsorge verweigert werden, nicht jedoch aus Rücksicht auf allfällige wirtschaftliche Interessen der Heimatgemeinde oder wegen des bisherigen Lebenswandels des Entmündigten.</w:t>
      </w:r>
    </w:p>
    <w:p>
      <w:pPr>
        <w:pStyle w:val="Heading2"/>
      </w:pPr>
      <w:r>
        <w:t>Erwägungen</w:t>
      </w:r>
    </w:p>
    <w:p>
      <w:r>
        <w:rPr>
          <w:b/>
        </w:rPr>
        <w:t>E. 1</w:t>
      </w:r>
    </w:p>
    <w:p>
      <w:r>
        <w:t>Gemäss Art. 44 lit. b OG ist gegen die Verweigerung der Einwilligung des Vormundes zur Eheschliessung die Berufung zulässig. Der angefochtene Entscheid ist ein Entscheid der letzten kantonalen Instanz im Sinne von Art. 48 Abs. 2 lit. a OG , da im Kanton Wallis keine obere kantonale Aufsichtsbehörde in Vormundschaftssachen besteht. Auf die Berufung ist demnach einzutreten.</w:t>
      </w:r>
    </w:p>
    <w:p>
      <w:r>
        <w:rPr>
          <w:b/>
        </w:rPr>
        <w:t>E. 2</w:t>
      </w:r>
    </w:p>
    <w:p>
      <w:r>
        <w:t>Nach Art. 99 Abs. 1 ZGB können entmündigte Personen eine Ehe nur mit Einwilligung des Vormundes eingehen. Diese darf nicht unter Berufung auf allfällige wirtschaftliche Interessen der Heimatgemeinde verweigert werden, wie es das Waisenamt getan hat. Ökonomische Interessen Dritter, namentlich der Heimatgemeinde, dürfen bei der Erteilung der Einwilligung zur Eheschliessung keine Rolle spielen. Das ergibt sich unmittelbar aus Art. 54 Abs. 2 BV , der durch Art. 99 Abs. 1 ZGB nicht eingeschränkt worden ist. Zu berücksichtigen sind lediglich ökonomische Interessen des Mündels selbst bzw. gesundheitliche, geistige oder sittliche Gefahren, die ihm aus der beabsichtigten Ehe erwachsen könnten ( BGE 50 II 214 /215, BGE 46 II 206 E. 2, BGE 42 II 83 /84). Vorstrafen, Anstaltsversorgung, aussereheliche Vaterschaft, Nichtbezahlung von Alimenten und dergleichen reichen für die Verweigerung der Einwilligung nicht aus (WOLFER, Die Eheschliessung Entmündigter, BGE 106 II 177 S. 179 ZVW 1/1946 S. 82 oben). Nur Gründe der vormundschaftlichen Fürsorge sind massgebend, etwa eine schwere Gefährdung der persönlichen Verhältnisse des Mündels oder eine schlechte Prognose mit Bezug auf die Ehe selbst, wenn überdies anzunehmen ist, der Mündel würde bei verständiger Würdigung der Verhältnisse von seinem Vorhaben absehen ( BGE 67 II 1 , BGE 50 II 215 , BGE 46 II 206 E. 2, BGE 42 II 83 /84, 425: GÖTZ, N. 16-19 und N. 22 zu Art. 99 ZGB ). Solche Gründe macht die Vorinstanz nicht geltend. Die Begründung, mit der sie die Einwilligung zur Eheschliessung verweigert hat, ist im übrigen insofern widersprüchlich, als sie feststellt, dass das Verhältnis des Berufungsklägers zu Frl. V. nun fünf Jahre gedauert hat und sie die Hoffnung ausdrückt, dass sich diese Beziehung weiter festige und Frl. V. einen positiven Einfluss auf den Berufungskläger ausübe, gleichzeitig aber die Eingehung der neuen Ehe um ein Jahr hinausschiebt, namentlich um einer bevorstehenden Strafverbüssung Rechnung zu tragen. Dabei scheint es sich entgegen der Feststellung im angefochtenen Entscheid nicht um eine "längere" Freiheitsstrafe zu handeln, sondern um eine Strafe von sechs Monaten Gefängnis, wobei noch die Möglichkeit einer vorzeitigen bedingten Entlassung zu berücksichtigen ist. Auch kann es unter Umständen für einen Strafgefangenen eine grosse moralische Hilfe bedeuten, wenn ein Ehepartner zu ihm steht (vgl. GÖTZ, Die Einwilligung des Vormundes zur Eheschliessung des Mündels, ZVW 21/1966 S. 46). Völlig sachfremd ist es sodann, wenn die Vorinstanz aus der Auferlegung eines nunmehr abgelaufenen Eheverbots im Scheidungsurteil die Rechtfertigung für eine "Erstreckung der Verlobungszeit" ableiten will. Abgesehen davon darf die Einwilligung zur Eheschliessung nicht von einer Bedingung abhängig gemacht werden, wie es die Vorinstanz tut (GÖTZ, N. 10 zu Art. 99 ZGB ; WOLFER, a.a.O. S. 83). Dass das Vorhaben des Berufungsklägers unüberlegt sei, behauptet die Vorinstanz nicht. Es steht auch keineswegs fest, dass die neue Ehe unzweckmässig sei. Die Vorinstanz anerkennt im Gegenteil den positiven Einfluss von Frl. V. auf den Berufungskläger; für diesen scheint die Beziehung zu Frl. V. und zu den beiden Kindern tatsächlich der einzige Halt zu sein. Unter diesen Umständen darf die Einwilligung zur Eheschliessung nicht verweigert werden. Die Berufung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